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C2B4" w14:textId="77777777" w:rsidR="00D84A83" w:rsidRDefault="00D84A83" w:rsidP="00D84A83">
      <w:pPr>
        <w:pStyle w:val="Titolo1"/>
        <w:shd w:val="clear" w:color="auto" w:fill="FFFFFF"/>
        <w:spacing w:before="0" w:beforeAutospacing="0" w:after="300" w:afterAutospacing="0" w:line="675" w:lineRule="atLeast"/>
        <w:rPr>
          <w:rFonts w:ascii="Roboto" w:hAnsi="Roboto" w:cs="Arial"/>
          <w:color w:val="83A6BA"/>
          <w:sz w:val="51"/>
          <w:szCs w:val="51"/>
        </w:rPr>
      </w:pPr>
      <w:r>
        <w:rPr>
          <w:rFonts w:ascii="Roboto" w:hAnsi="Roboto" w:cs="Arial"/>
          <w:color w:val="83A6BA"/>
          <w:sz w:val="51"/>
          <w:szCs w:val="51"/>
        </w:rPr>
        <w:t>Quota 100 cumulabile con il reddito del socio non lavoratore</w:t>
      </w:r>
    </w:p>
    <w:p w14:paraId="437535C7" w14:textId="77777777" w:rsidR="00D84A83" w:rsidRDefault="00D84A83" w:rsidP="00D84A83">
      <w:pPr>
        <w:pStyle w:val="Titolo2"/>
        <w:shd w:val="clear" w:color="auto" w:fill="FFFFFF"/>
        <w:spacing w:before="0" w:after="300" w:line="375" w:lineRule="atLeast"/>
        <w:rPr>
          <w:rFonts w:ascii="inherit" w:hAnsi="inherit" w:cs="Arial"/>
          <w:color w:val="686A6A"/>
          <w:sz w:val="32"/>
          <w:szCs w:val="32"/>
        </w:rPr>
      </w:pPr>
      <w:r>
        <w:rPr>
          <w:rFonts w:ascii="inherit" w:hAnsi="inherit" w:cs="Arial"/>
          <w:b/>
          <w:bCs/>
          <w:color w:val="686A6A"/>
          <w:sz w:val="32"/>
          <w:szCs w:val="32"/>
        </w:rPr>
        <w:t>L’incumulabilità sussiste laddove vi sia una connessione tra i redditi percepiti e lo svolgimento di un’attività lavorativa</w:t>
      </w:r>
    </w:p>
    <w:p w14:paraId="0E3797B9"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Con l’</w:t>
      </w:r>
      <w:hyperlink r:id="rId8" w:tgtFrame="_blank" w:history="1">
        <w:r>
          <w:rPr>
            <w:rStyle w:val="Collegamentoipertestuale"/>
            <w:rFonts w:ascii="Roboto Slab" w:hAnsi="Roboto Slab" w:cs="Arial"/>
            <w:color w:val="337AB7"/>
          </w:rPr>
          <w:t>art. 14</w:t>
        </w:r>
      </w:hyperlink>
      <w:r>
        <w:rPr>
          <w:rFonts w:ascii="Roboto Slab" w:hAnsi="Roboto Slab" w:cs="Arial"/>
          <w:color w:val="000000"/>
        </w:rPr>
        <w:t> del DL 4/2019 è stata introdotta – in via sperimentale per il triennio 2019/2021 – una nuova misura di carattere pensionistico denominata “</w:t>
      </w:r>
      <w:r>
        <w:rPr>
          <w:rFonts w:ascii="Roboto Slab" w:hAnsi="Roboto Slab" w:cs="Arial"/>
          <w:b/>
          <w:bCs/>
          <w:color w:val="000000"/>
        </w:rPr>
        <w:t>Quota 100</w:t>
      </w:r>
      <w:r>
        <w:rPr>
          <w:rFonts w:ascii="Roboto Slab" w:hAnsi="Roboto Slab" w:cs="Arial"/>
          <w:color w:val="000000"/>
        </w:rPr>
        <w:t>”, che consente l’accesso anticipato alla pensione per coloro che hanno almeno 62 anni di età e 38 anni di contributi.</w:t>
      </w:r>
    </w:p>
    <w:p w14:paraId="05C44FC7"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Uno degli aspetti di maggior criticità che caratterizzano l’anticipo pensionistico in argomento è sicuramente costituito dall’</w:t>
      </w:r>
      <w:r>
        <w:rPr>
          <w:rFonts w:ascii="Roboto Slab" w:hAnsi="Roboto Slab" w:cs="Arial"/>
          <w:b/>
          <w:bCs/>
          <w:color w:val="000000"/>
        </w:rPr>
        <w:t>incumulabilità</w:t>
      </w:r>
      <w:r>
        <w:rPr>
          <w:rFonts w:ascii="Roboto Slab" w:hAnsi="Roboto Slab" w:cs="Arial"/>
          <w:color w:val="000000"/>
        </w:rPr>
        <w:t> del relativo assegno con i redditi da lavoro eventualmente percepiti dal pensionato.</w:t>
      </w:r>
      <w:r>
        <w:rPr>
          <w:rFonts w:ascii="Roboto Slab" w:hAnsi="Roboto Slab" w:cs="Arial"/>
          <w:color w:val="000000"/>
        </w:rPr>
        <w:br/>
        <w:t>Secondo quanto disposto dall’art. 14 comma 3 del DL 4/2019, infatti, la pensione anticipata c.d. “Quota 100” non è cumulabile, a far data dal primo giorno di decorrenza della prestazione e fino alla maturazione dei requisiti per l’accesso alla pensione di vecchiaia, con i redditi da lavoro dipendente o autonomo, fatta eccezione per quelli derivanti da lavoro autonomo occasionale, nel limite di 5.000 euro lordi annui.</w:t>
      </w:r>
    </w:p>
    <w:p w14:paraId="57354847"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Come si può evincere da tale disposizione, l’incumulabilità tra l’anticipo pensionistico in questione ed altri redditi sussiste laddove vi sia una connessione tra questi ultimi e lo svolgimento di un’</w:t>
      </w:r>
      <w:r>
        <w:rPr>
          <w:rFonts w:ascii="Roboto Slab" w:hAnsi="Roboto Slab" w:cs="Arial"/>
          <w:b/>
          <w:bCs/>
          <w:color w:val="000000"/>
        </w:rPr>
        <w:t>attività lavorativa</w:t>
      </w:r>
      <w:r>
        <w:rPr>
          <w:rFonts w:ascii="Roboto Slab" w:hAnsi="Roboto Slab" w:cs="Arial"/>
          <w:color w:val="000000"/>
        </w:rPr>
        <w:t>.</w:t>
      </w:r>
      <w:r>
        <w:rPr>
          <w:rFonts w:ascii="Roboto Slab" w:hAnsi="Roboto Slab" w:cs="Arial"/>
          <w:color w:val="000000"/>
        </w:rPr>
        <w:br/>
        <w:t xml:space="preserve">Nell’ipotesi di un pensionato “Quota 100” che al contempo risulta essere anche socio non lavoratore di </w:t>
      </w:r>
      <w:proofErr w:type="spellStart"/>
      <w:r>
        <w:rPr>
          <w:rFonts w:ascii="Roboto Slab" w:hAnsi="Roboto Slab" w:cs="Arial"/>
          <w:color w:val="000000"/>
        </w:rPr>
        <w:t>srl</w:t>
      </w:r>
      <w:proofErr w:type="spellEnd"/>
      <w:r>
        <w:rPr>
          <w:rFonts w:ascii="Roboto Slab" w:hAnsi="Roboto Slab" w:cs="Arial"/>
          <w:color w:val="000000"/>
        </w:rPr>
        <w:t>, percependo da quest’ultima unicamente </w:t>
      </w:r>
      <w:r>
        <w:rPr>
          <w:rFonts w:ascii="Roboto Slab" w:hAnsi="Roboto Slab" w:cs="Arial"/>
          <w:b/>
          <w:bCs/>
          <w:color w:val="000000"/>
        </w:rPr>
        <w:t>reddito di impresa</w:t>
      </w:r>
      <w:r>
        <w:rPr>
          <w:rFonts w:ascii="Roboto Slab" w:hAnsi="Roboto Slab" w:cs="Arial"/>
          <w:color w:val="000000"/>
        </w:rPr>
        <w:t>, tale connessione non sussiste, in quanto il pensionato in questione non presta in tale contesto alcuna attività lavorativa effettiva.</w:t>
      </w:r>
    </w:p>
    <w:p w14:paraId="3222B478"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È da ritenere, pertanto, che in tale ipotesi non si possa delineare un’</w:t>
      </w:r>
      <w:r>
        <w:rPr>
          <w:rFonts w:ascii="Roboto Slab" w:hAnsi="Roboto Slab" w:cs="Arial"/>
          <w:b/>
          <w:bCs/>
          <w:color w:val="000000"/>
        </w:rPr>
        <w:t>incompatibilità</w:t>
      </w:r>
      <w:r>
        <w:rPr>
          <w:rFonts w:ascii="Roboto Slab" w:hAnsi="Roboto Slab" w:cs="Arial"/>
          <w:color w:val="000000"/>
        </w:rPr>
        <w:t> tra il predetto reddito di impresa e la pensione “Quota 100”.</w:t>
      </w:r>
      <w:r>
        <w:rPr>
          <w:rFonts w:ascii="Roboto Slab" w:hAnsi="Roboto Slab" w:cs="Arial"/>
          <w:color w:val="000000"/>
        </w:rPr>
        <w:br/>
        <w:t>Sulla questione, è intervenuto lo stesso INPS che, con la circ. n. </w:t>
      </w:r>
      <w:hyperlink r:id="rId9" w:tgtFrame="_blank" w:history="1">
        <w:r>
          <w:rPr>
            <w:rStyle w:val="Collegamentoipertestuale"/>
            <w:rFonts w:ascii="Roboto Slab" w:hAnsi="Roboto Slab" w:cs="Arial"/>
            <w:color w:val="337AB7"/>
          </w:rPr>
          <w:t>117/2019</w:t>
        </w:r>
      </w:hyperlink>
      <w:r>
        <w:rPr>
          <w:rFonts w:ascii="Roboto Slab" w:hAnsi="Roboto Slab" w:cs="Arial"/>
          <w:color w:val="000000"/>
        </w:rPr>
        <w:t xml:space="preserve">, ha riportato </w:t>
      </w:r>
      <w:r>
        <w:rPr>
          <w:rFonts w:ascii="Roboto Slab" w:hAnsi="Roboto Slab" w:cs="Arial"/>
          <w:color w:val="000000"/>
        </w:rPr>
        <w:lastRenderedPageBreak/>
        <w:t>un </w:t>
      </w:r>
      <w:r>
        <w:rPr>
          <w:rFonts w:ascii="Roboto Slab" w:hAnsi="Roboto Slab" w:cs="Arial"/>
          <w:b/>
          <w:bCs/>
          <w:color w:val="000000"/>
        </w:rPr>
        <w:t>elenco</w:t>
      </w:r>
      <w:r>
        <w:rPr>
          <w:rFonts w:ascii="Roboto Slab" w:hAnsi="Roboto Slab" w:cs="Arial"/>
          <w:color w:val="000000"/>
        </w:rPr>
        <w:t> tassativo dei redditi che non rilevano ai fini dell’incumulabilità della pensione in argomento.</w:t>
      </w:r>
      <w:r>
        <w:rPr>
          <w:rFonts w:ascii="Roboto Slab" w:hAnsi="Roboto Slab" w:cs="Arial"/>
          <w:color w:val="000000"/>
        </w:rPr>
        <w:br/>
        <w:t>Tra questi, l’Istituto previdenziale ha espressamente indicato i redditi di impresa non connessi ad attività di lavoro, nonché le partecipazioni agli utili derivanti da contratti di associazione in partecipazione nei casi in cui l’apporto non sia costituito dalla prestazione di lavoro.</w:t>
      </w:r>
    </w:p>
    <w:p w14:paraId="78722FEA"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Inoltre, nella citata circ. n. 117/2019 si precisa che laddove non sia svolta attività lavorativa, gli interessati potranno rendere la </w:t>
      </w:r>
      <w:r>
        <w:rPr>
          <w:rFonts w:ascii="Roboto Slab" w:hAnsi="Roboto Slab" w:cs="Arial"/>
          <w:b/>
          <w:bCs/>
          <w:color w:val="000000"/>
        </w:rPr>
        <w:t>dichiarazione</w:t>
      </w:r>
      <w:r>
        <w:rPr>
          <w:rFonts w:ascii="Roboto Slab" w:hAnsi="Roboto Slab" w:cs="Arial"/>
          <w:color w:val="000000"/>
        </w:rPr>
        <w:t> di responsabilità in ordine alla qualità di socio che partecipa con capitale senza espletare attività lavorativa.</w:t>
      </w:r>
    </w:p>
    <w:p w14:paraId="4FA5196B"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In tale ipotesi, si rende noto nel documento di prassi, le Sedi territoriali dell’INPS considereranno il reddito conseguito come reddito da </w:t>
      </w:r>
      <w:r>
        <w:rPr>
          <w:rFonts w:ascii="Roboto Slab" w:hAnsi="Roboto Slab" w:cs="Arial"/>
          <w:b/>
          <w:bCs/>
          <w:color w:val="000000"/>
        </w:rPr>
        <w:t>capitale</w:t>
      </w:r>
      <w:r>
        <w:rPr>
          <w:rFonts w:ascii="Roboto Slab" w:hAnsi="Roboto Slab" w:cs="Arial"/>
          <w:color w:val="000000"/>
        </w:rPr>
        <w:t> e, quindi, cumulabile con la prestazione pensionistica in questione.</w:t>
      </w:r>
    </w:p>
    <w:p w14:paraId="0BCD0FFE" w14:textId="77777777" w:rsidR="00D84A83" w:rsidRDefault="00D84A83" w:rsidP="00D84A83">
      <w:pPr>
        <w:shd w:val="clear" w:color="auto" w:fill="FFFFFF"/>
        <w:rPr>
          <w:rFonts w:ascii="Roboto" w:hAnsi="Roboto" w:cs="Arial"/>
          <w:i/>
          <w:iCs/>
          <w:color w:val="000000"/>
          <w:sz w:val="30"/>
          <w:szCs w:val="30"/>
        </w:rPr>
      </w:pPr>
      <w:r>
        <w:rPr>
          <w:rFonts w:ascii="Roboto" w:hAnsi="Roboto" w:cs="Arial"/>
          <w:i/>
          <w:iCs/>
          <w:color w:val="000000"/>
          <w:sz w:val="30"/>
          <w:szCs w:val="30"/>
        </w:rPr>
        <w:t>Non necessaria la cessazione del lavoro autonomo</w:t>
      </w:r>
    </w:p>
    <w:p w14:paraId="54EB28E3"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Inoltre, è bene ricordare che lo stesso INPS, affrontando la questione con la citata circ. n. 117/2019, ha chiarito che ai fini del conseguimento della pensione anticipata “Quota 100” è richiesta la </w:t>
      </w:r>
      <w:r>
        <w:rPr>
          <w:rFonts w:ascii="Roboto Slab" w:hAnsi="Roboto Slab" w:cs="Arial"/>
          <w:b/>
          <w:bCs/>
          <w:color w:val="000000"/>
        </w:rPr>
        <w:t>cessazione </w:t>
      </w:r>
      <w:r>
        <w:rPr>
          <w:rFonts w:ascii="Roboto Slab" w:hAnsi="Roboto Slab" w:cs="Arial"/>
          <w:color w:val="000000"/>
        </w:rPr>
        <w:t>del rapporto di lavoro dipendente, mentre, per i medesimi fini, non è invece richiesta la cessazione dell’attività di lavoro autonomo (ad esempio, con la cancellazione dagli elenchi dei lavoratori autonomi, dall’iscrizione camerale, dagli albi professionali, con la chiusura della partita IVA, eccetera), stante la previsione normativa dell’incumulabilità della pensione con i redditi da lavoro e non anche dell’incompatibilità della stessa con lo svolgimento dell’attività lavorativa.</w:t>
      </w:r>
    </w:p>
    <w:p w14:paraId="5C8C6D59"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Pertanto, in caso di svolgimento di attività di </w:t>
      </w:r>
      <w:r>
        <w:rPr>
          <w:rFonts w:ascii="Roboto Slab" w:hAnsi="Roboto Slab" w:cs="Arial"/>
          <w:b/>
          <w:bCs/>
          <w:color w:val="000000"/>
        </w:rPr>
        <w:t>lavoro autonomo</w:t>
      </w:r>
      <w:r>
        <w:rPr>
          <w:rFonts w:ascii="Roboto Slab" w:hAnsi="Roboto Slab" w:cs="Arial"/>
          <w:color w:val="000000"/>
        </w:rPr>
        <w:t xml:space="preserve">, fermo restando l’obbligo del versamento della contribuzione obbligatoria presso la relativa gestione, i redditi eventualmente percepiti a seguito dello svolgimento della </w:t>
      </w:r>
      <w:proofErr w:type="gramStart"/>
      <w:r>
        <w:rPr>
          <w:rFonts w:ascii="Roboto Slab" w:hAnsi="Roboto Slab" w:cs="Arial"/>
          <w:color w:val="000000"/>
        </w:rPr>
        <w:t>predetta</w:t>
      </w:r>
      <w:proofErr w:type="gramEnd"/>
      <w:r>
        <w:rPr>
          <w:rFonts w:ascii="Roboto Slab" w:hAnsi="Roboto Slab" w:cs="Arial"/>
          <w:color w:val="000000"/>
        </w:rPr>
        <w:t xml:space="preserve"> attività rilevano, ai fini della incumulabilità della pensione “Quota 100”.</w:t>
      </w:r>
    </w:p>
    <w:p w14:paraId="124BC3DB" w14:textId="77777777" w:rsidR="00D84A83" w:rsidRDefault="00D84A83" w:rsidP="00D84A83">
      <w:pPr>
        <w:pStyle w:val="NormaleWeb"/>
        <w:shd w:val="clear" w:color="auto" w:fill="FFFFFF"/>
        <w:spacing w:before="0" w:beforeAutospacing="0" w:after="300" w:afterAutospacing="0" w:line="384" w:lineRule="atLeast"/>
        <w:rPr>
          <w:rFonts w:ascii="Roboto Slab" w:hAnsi="Roboto Slab" w:cs="Arial"/>
          <w:color w:val="000000"/>
        </w:rPr>
      </w:pPr>
      <w:r>
        <w:rPr>
          <w:rFonts w:ascii="Roboto Slab" w:hAnsi="Roboto Slab" w:cs="Arial"/>
          <w:color w:val="000000"/>
        </w:rPr>
        <w:t>Infine, si ricorda che in presenza di redditi non cumulabili, il pagamento della pensione è </w:t>
      </w:r>
      <w:r>
        <w:rPr>
          <w:rFonts w:ascii="Roboto Slab" w:hAnsi="Roboto Slab" w:cs="Arial"/>
          <w:b/>
          <w:bCs/>
          <w:color w:val="000000"/>
        </w:rPr>
        <w:t>sospeso</w:t>
      </w:r>
      <w:r>
        <w:rPr>
          <w:rFonts w:ascii="Roboto Slab" w:hAnsi="Roboto Slab" w:cs="Arial"/>
          <w:color w:val="000000"/>
        </w:rPr>
        <w:t xml:space="preserve"> nell’anno in cui sono stati percepiti i redditi da lavoro, nonché nei mesi </w:t>
      </w:r>
      <w:r>
        <w:rPr>
          <w:rFonts w:ascii="Roboto Slab" w:hAnsi="Roboto Slab" w:cs="Arial"/>
          <w:color w:val="000000"/>
        </w:rPr>
        <w:lastRenderedPageBreak/>
        <w:t xml:space="preserve">dell’anno, precedenti quello di compimento dell’età richiesta per la pensione di vecchiaia, in cui siano stati percepiti i </w:t>
      </w:r>
      <w:proofErr w:type="gramStart"/>
      <w:r>
        <w:rPr>
          <w:rFonts w:ascii="Roboto Slab" w:hAnsi="Roboto Slab" w:cs="Arial"/>
          <w:color w:val="000000"/>
        </w:rPr>
        <w:t>predetti</w:t>
      </w:r>
      <w:proofErr w:type="gramEnd"/>
      <w:r>
        <w:rPr>
          <w:rFonts w:ascii="Roboto Slab" w:hAnsi="Roboto Slab" w:cs="Arial"/>
          <w:color w:val="000000"/>
        </w:rPr>
        <w:t xml:space="preserve"> redditi.</w:t>
      </w:r>
    </w:p>
    <w:p w14:paraId="05D517C8" w14:textId="3C2F0041" w:rsidR="00D84A83" w:rsidRDefault="00D84A83" w:rsidP="00D84A83">
      <w:pPr>
        <w:pStyle w:val="NormaleWeb"/>
        <w:shd w:val="clear" w:color="auto" w:fill="FFFFFF"/>
        <w:spacing w:before="0" w:beforeAutospacing="0" w:after="300" w:afterAutospacing="0" w:line="384" w:lineRule="atLeast"/>
        <w:rPr>
          <w:rFonts w:ascii="Arial" w:hAnsi="Arial" w:cs="Arial"/>
          <w:color w:val="686A6A"/>
          <w:sz w:val="21"/>
          <w:szCs w:val="21"/>
        </w:rPr>
      </w:pPr>
      <w:r>
        <w:rPr>
          <w:rFonts w:ascii="Roboto Slab" w:hAnsi="Roboto Slab" w:cs="Arial"/>
          <w:color w:val="000000"/>
        </w:rPr>
        <w:t>Pertanto, i ratei di pensione relativi a tali periodi non vengono corrisposti ovvero devono essere recuperati ai sensi dell’</w:t>
      </w:r>
      <w:hyperlink r:id="rId10" w:tgtFrame="_blank" w:history="1">
        <w:r>
          <w:rPr>
            <w:rStyle w:val="Collegamentoipertestuale"/>
            <w:rFonts w:ascii="Roboto Slab" w:hAnsi="Roboto Slab" w:cs="Arial"/>
            <w:color w:val="337AB7"/>
          </w:rPr>
          <w:t>art. 2033</w:t>
        </w:r>
      </w:hyperlink>
      <w:r>
        <w:rPr>
          <w:rFonts w:ascii="Roboto Slab" w:hAnsi="Roboto Slab" w:cs="Arial"/>
          <w:color w:val="000000"/>
        </w:rPr>
        <w:t> c.c. in materia di </w:t>
      </w:r>
      <w:r>
        <w:rPr>
          <w:rFonts w:ascii="Roboto Slab" w:hAnsi="Roboto Slab" w:cs="Arial"/>
          <w:b/>
          <w:bCs/>
          <w:color w:val="000000"/>
        </w:rPr>
        <w:t>indebito oggettivo</w:t>
      </w:r>
      <w:r>
        <w:rPr>
          <w:rFonts w:ascii="Roboto Slab" w:hAnsi="Roboto Slab" w:cs="Arial"/>
          <w:color w:val="000000"/>
        </w:rPr>
        <w:t>, ove già posti in pagamento.</w:t>
      </w:r>
      <w:r>
        <w:rPr>
          <w:rFonts w:ascii="Arial" w:hAnsi="Arial" w:cs="Arial"/>
          <w:color w:val="686A6A"/>
          <w:sz w:val="21"/>
          <w:szCs w:val="21"/>
        </w:rPr>
        <w:t xml:space="preserve"> </w:t>
      </w:r>
    </w:p>
    <w:p w14:paraId="110F61B2" w14:textId="77777777" w:rsidR="00733CA6" w:rsidRPr="00E44708" w:rsidRDefault="00733CA6" w:rsidP="00E44708"/>
    <w:sectPr w:rsidR="00733CA6" w:rsidRPr="00E4470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9BBD" w14:textId="77777777" w:rsidR="00384A88" w:rsidRDefault="00384A88">
      <w:r>
        <w:separator/>
      </w:r>
    </w:p>
  </w:endnote>
  <w:endnote w:type="continuationSeparator" w:id="0">
    <w:p w14:paraId="26D128A8" w14:textId="77777777" w:rsidR="00384A88" w:rsidRDefault="0038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Slab">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67F7"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0CEE1D31"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25E28598"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7E2BD2CF"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7243510C"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E0BAB" w14:textId="77777777" w:rsidR="00384A88" w:rsidRDefault="00384A88">
      <w:r>
        <w:separator/>
      </w:r>
    </w:p>
  </w:footnote>
  <w:footnote w:type="continuationSeparator" w:id="0">
    <w:p w14:paraId="1D75A225" w14:textId="77777777" w:rsidR="00384A88" w:rsidRDefault="0038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57AB" w14:textId="77777777" w:rsidR="005E2050" w:rsidRDefault="00090742">
    <w:pPr>
      <w:pStyle w:val="Intestazione"/>
    </w:pPr>
    <w:r>
      <w:rPr>
        <w:noProof/>
      </w:rPr>
      <w:drawing>
        <wp:anchor distT="0" distB="0" distL="114300" distR="114300" simplePos="0" relativeHeight="251657728" behindDoc="0" locked="0" layoutInCell="1" allowOverlap="1" wp14:anchorId="24436ED6" wp14:editId="49FFCF00">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00DC4" w14:textId="77777777" w:rsidR="005E2050" w:rsidRDefault="005E2050">
    <w:pPr>
      <w:pStyle w:val="Intestazione"/>
    </w:pPr>
  </w:p>
  <w:p w14:paraId="071CFF75" w14:textId="77777777" w:rsidR="005E2050" w:rsidRDefault="005E2050">
    <w:pPr>
      <w:pStyle w:val="Intestazione"/>
    </w:pPr>
  </w:p>
  <w:p w14:paraId="7E80EAAA" w14:textId="77777777" w:rsidR="005E2050" w:rsidRDefault="005E2050" w:rsidP="0051460C">
    <w:pPr>
      <w:pStyle w:val="Intestazione"/>
      <w:tabs>
        <w:tab w:val="clear" w:pos="4819"/>
        <w:tab w:val="clear" w:pos="9638"/>
      </w:tabs>
      <w:jc w:val="center"/>
    </w:pPr>
    <w:r>
      <w:t>Professionisti d’Impresa</w:t>
    </w:r>
  </w:p>
  <w:p w14:paraId="32B780AF" w14:textId="77777777" w:rsidR="005E2050" w:rsidRDefault="005E2050" w:rsidP="0051460C">
    <w:pPr>
      <w:pStyle w:val="Intestazione"/>
      <w:tabs>
        <w:tab w:val="left" w:pos="142"/>
        <w:tab w:val="left" w:pos="180"/>
      </w:tabs>
      <w:jc w:val="center"/>
    </w:pPr>
    <w:r>
      <w:t>Studio di Consulenza Societaria e Tributaria</w:t>
    </w:r>
  </w:p>
  <w:p w14:paraId="44D0760B"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F6131C4"/>
    <w:multiLevelType w:val="multilevel"/>
    <w:tmpl w:val="E326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7"/>
  </w:num>
  <w:num w:numId="6">
    <w:abstractNumId w:val="2"/>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384A88"/>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84A83"/>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C16FA"/>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D84A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D84A83"/>
    <w:rPr>
      <w:rFonts w:asciiTheme="majorHAnsi" w:eastAsiaTheme="majorEastAsia" w:hAnsiTheme="majorHAnsi" w:cstheme="majorBidi"/>
      <w:color w:val="2E74B5" w:themeColor="accent1" w:themeShade="BF"/>
      <w:sz w:val="26"/>
      <w:szCs w:val="26"/>
    </w:rPr>
  </w:style>
  <w:style w:type="paragraph" w:customStyle="1" w:styleId="name">
    <w:name w:val="name"/>
    <w:basedOn w:val="Normale"/>
    <w:rsid w:val="00D84A83"/>
    <w:pPr>
      <w:spacing w:before="100" w:beforeAutospacing="1" w:after="100" w:afterAutospacing="1"/>
    </w:pPr>
  </w:style>
  <w:style w:type="paragraph" w:customStyle="1" w:styleId="data">
    <w:name w:val="data"/>
    <w:basedOn w:val="Normale"/>
    <w:rsid w:val="00D84A83"/>
    <w:pPr>
      <w:spacing w:before="100" w:beforeAutospacing="1" w:after="100" w:afterAutospacing="1"/>
    </w:pPr>
  </w:style>
  <w:style w:type="paragraph" w:customStyle="1" w:styleId="section-title">
    <w:name w:val="section-title"/>
    <w:basedOn w:val="Normale"/>
    <w:rsid w:val="00D84A83"/>
    <w:pPr>
      <w:spacing w:before="100" w:beforeAutospacing="1" w:after="100" w:afterAutospacing="1"/>
    </w:pPr>
  </w:style>
  <w:style w:type="paragraph" w:customStyle="1" w:styleId="title">
    <w:name w:val="title"/>
    <w:basedOn w:val="Normale"/>
    <w:rsid w:val="00D84A83"/>
    <w:pPr>
      <w:spacing w:before="100" w:beforeAutospacing="1" w:after="100" w:afterAutospacing="1"/>
    </w:pPr>
  </w:style>
  <w:style w:type="paragraph" w:customStyle="1" w:styleId="testo">
    <w:name w:val="testo"/>
    <w:basedOn w:val="Normale"/>
    <w:rsid w:val="00D84A83"/>
    <w:pPr>
      <w:spacing w:before="100" w:beforeAutospacing="1" w:after="100" w:afterAutospacing="1"/>
    </w:pPr>
  </w:style>
  <w:style w:type="paragraph" w:customStyle="1" w:styleId="author">
    <w:name w:val="author"/>
    <w:basedOn w:val="Normale"/>
    <w:rsid w:val="00D84A83"/>
    <w:pPr>
      <w:spacing w:before="100" w:beforeAutospacing="1" w:after="100" w:afterAutospacing="1"/>
    </w:pPr>
  </w:style>
  <w:style w:type="paragraph" w:customStyle="1" w:styleId="active">
    <w:name w:val="active"/>
    <w:basedOn w:val="Normale"/>
    <w:rsid w:val="00D84A83"/>
    <w:pPr>
      <w:spacing w:before="100" w:beforeAutospacing="1" w:after="100" w:afterAutospacing="1"/>
    </w:pPr>
  </w:style>
  <w:style w:type="paragraph" w:customStyle="1" w:styleId="prezzo">
    <w:name w:val="prezzo"/>
    <w:basedOn w:val="Normale"/>
    <w:rsid w:val="00D84A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435561076">
      <w:bodyDiv w:val="1"/>
      <w:marLeft w:val="0"/>
      <w:marRight w:val="0"/>
      <w:marTop w:val="0"/>
      <w:marBottom w:val="0"/>
      <w:divBdr>
        <w:top w:val="none" w:sz="0" w:space="0" w:color="auto"/>
        <w:left w:val="none" w:sz="0" w:space="0" w:color="auto"/>
        <w:bottom w:val="none" w:sz="0" w:space="0" w:color="auto"/>
        <w:right w:val="none" w:sz="0" w:space="0" w:color="auto"/>
      </w:divBdr>
      <w:divsChild>
        <w:div w:id="1104688081">
          <w:marLeft w:val="-225"/>
          <w:marRight w:val="-225"/>
          <w:marTop w:val="0"/>
          <w:marBottom w:val="0"/>
          <w:divBdr>
            <w:top w:val="none" w:sz="0" w:space="0" w:color="auto"/>
            <w:left w:val="none" w:sz="0" w:space="0" w:color="auto"/>
            <w:bottom w:val="none" w:sz="0" w:space="0" w:color="auto"/>
            <w:right w:val="none" w:sz="0" w:space="0" w:color="auto"/>
          </w:divBdr>
          <w:divsChild>
            <w:div w:id="457727665">
              <w:marLeft w:val="0"/>
              <w:marRight w:val="0"/>
              <w:marTop w:val="0"/>
              <w:marBottom w:val="0"/>
              <w:divBdr>
                <w:top w:val="none" w:sz="0" w:space="0" w:color="auto"/>
                <w:left w:val="none" w:sz="0" w:space="0" w:color="auto"/>
                <w:bottom w:val="none" w:sz="0" w:space="0" w:color="auto"/>
                <w:right w:val="none" w:sz="0" w:space="0" w:color="auto"/>
              </w:divBdr>
              <w:divsChild>
                <w:div w:id="1560172170">
                  <w:marLeft w:val="-225"/>
                  <w:marRight w:val="-225"/>
                  <w:marTop w:val="0"/>
                  <w:marBottom w:val="0"/>
                  <w:divBdr>
                    <w:top w:val="none" w:sz="0" w:space="0" w:color="auto"/>
                    <w:left w:val="none" w:sz="0" w:space="0" w:color="auto"/>
                    <w:bottom w:val="none" w:sz="0" w:space="0" w:color="auto"/>
                    <w:right w:val="none" w:sz="0" w:space="0" w:color="auto"/>
                  </w:divBdr>
                  <w:divsChild>
                    <w:div w:id="859516225">
                      <w:marLeft w:val="0"/>
                      <w:marRight w:val="0"/>
                      <w:marTop w:val="0"/>
                      <w:marBottom w:val="0"/>
                      <w:divBdr>
                        <w:top w:val="none" w:sz="0" w:space="0" w:color="auto"/>
                        <w:left w:val="none" w:sz="0" w:space="0" w:color="auto"/>
                        <w:bottom w:val="none" w:sz="0" w:space="0" w:color="auto"/>
                        <w:right w:val="none" w:sz="0" w:space="0" w:color="auto"/>
                      </w:divBdr>
                      <w:divsChild>
                        <w:div w:id="360714034">
                          <w:marLeft w:val="-225"/>
                          <w:marRight w:val="-225"/>
                          <w:marTop w:val="0"/>
                          <w:marBottom w:val="0"/>
                          <w:divBdr>
                            <w:top w:val="none" w:sz="0" w:space="0" w:color="auto"/>
                            <w:left w:val="none" w:sz="0" w:space="0" w:color="auto"/>
                            <w:bottom w:val="none" w:sz="0" w:space="0" w:color="auto"/>
                            <w:right w:val="none" w:sz="0" w:space="0" w:color="auto"/>
                          </w:divBdr>
                          <w:divsChild>
                            <w:div w:id="1979065904">
                              <w:marLeft w:val="0"/>
                              <w:marRight w:val="0"/>
                              <w:marTop w:val="0"/>
                              <w:marBottom w:val="0"/>
                              <w:divBdr>
                                <w:top w:val="none" w:sz="0" w:space="0" w:color="auto"/>
                                <w:left w:val="none" w:sz="0" w:space="0" w:color="auto"/>
                                <w:bottom w:val="none" w:sz="0" w:space="0" w:color="auto"/>
                                <w:right w:val="none" w:sz="0" w:space="0" w:color="auto"/>
                              </w:divBdr>
                            </w:div>
                          </w:divsChild>
                        </w:div>
                        <w:div w:id="720373408">
                          <w:marLeft w:val="-225"/>
                          <w:marRight w:val="-225"/>
                          <w:marTop w:val="0"/>
                          <w:marBottom w:val="0"/>
                          <w:divBdr>
                            <w:top w:val="none" w:sz="0" w:space="0" w:color="auto"/>
                            <w:left w:val="none" w:sz="0" w:space="0" w:color="auto"/>
                            <w:bottom w:val="none" w:sz="0" w:space="0" w:color="auto"/>
                            <w:right w:val="none" w:sz="0" w:space="0" w:color="auto"/>
                          </w:divBdr>
                          <w:divsChild>
                            <w:div w:id="1837187488">
                              <w:marLeft w:val="0"/>
                              <w:marRight w:val="0"/>
                              <w:marTop w:val="0"/>
                              <w:marBottom w:val="0"/>
                              <w:divBdr>
                                <w:top w:val="none" w:sz="0" w:space="0" w:color="auto"/>
                                <w:left w:val="none" w:sz="0" w:space="0" w:color="auto"/>
                                <w:bottom w:val="none" w:sz="0" w:space="0" w:color="auto"/>
                                <w:right w:val="none" w:sz="0" w:space="0" w:color="auto"/>
                              </w:divBdr>
                              <w:divsChild>
                                <w:div w:id="1908489980">
                                  <w:marLeft w:val="0"/>
                                  <w:marRight w:val="0"/>
                                  <w:marTop w:val="0"/>
                                  <w:marBottom w:val="0"/>
                                  <w:divBdr>
                                    <w:top w:val="none" w:sz="0" w:space="0" w:color="auto"/>
                                    <w:left w:val="none" w:sz="0" w:space="0" w:color="auto"/>
                                    <w:bottom w:val="none" w:sz="0" w:space="0" w:color="auto"/>
                                    <w:right w:val="none" w:sz="0" w:space="0" w:color="auto"/>
                                  </w:divBdr>
                                </w:div>
                                <w:div w:id="1416517781">
                                  <w:marLeft w:val="0"/>
                                  <w:marRight w:val="0"/>
                                  <w:marTop w:val="0"/>
                                  <w:marBottom w:val="0"/>
                                  <w:divBdr>
                                    <w:top w:val="none" w:sz="0" w:space="0" w:color="auto"/>
                                    <w:left w:val="none" w:sz="0" w:space="0" w:color="auto"/>
                                    <w:bottom w:val="none" w:sz="0" w:space="0" w:color="auto"/>
                                    <w:right w:val="none" w:sz="0" w:space="0" w:color="auto"/>
                                  </w:divBdr>
                                </w:div>
                                <w:div w:id="371998490">
                                  <w:marLeft w:val="-225"/>
                                  <w:marRight w:val="-225"/>
                                  <w:marTop w:val="0"/>
                                  <w:marBottom w:val="0"/>
                                  <w:divBdr>
                                    <w:top w:val="none" w:sz="0" w:space="0" w:color="auto"/>
                                    <w:left w:val="none" w:sz="0" w:space="0" w:color="auto"/>
                                    <w:bottom w:val="none" w:sz="0" w:space="0" w:color="auto"/>
                                    <w:right w:val="none" w:sz="0" w:space="0" w:color="auto"/>
                                  </w:divBdr>
                                  <w:divsChild>
                                    <w:div w:id="18837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3141">
                          <w:marLeft w:val="-225"/>
                          <w:marRight w:val="-225"/>
                          <w:marTop w:val="0"/>
                          <w:marBottom w:val="0"/>
                          <w:divBdr>
                            <w:top w:val="none" w:sz="0" w:space="0" w:color="auto"/>
                            <w:left w:val="none" w:sz="0" w:space="0" w:color="auto"/>
                            <w:bottom w:val="none" w:sz="0" w:space="0" w:color="auto"/>
                            <w:right w:val="none" w:sz="0" w:space="0" w:color="auto"/>
                          </w:divBdr>
                          <w:divsChild>
                            <w:div w:id="170222353">
                              <w:marLeft w:val="0"/>
                              <w:marRight w:val="0"/>
                              <w:marTop w:val="0"/>
                              <w:marBottom w:val="0"/>
                              <w:divBdr>
                                <w:top w:val="none" w:sz="0" w:space="0" w:color="auto"/>
                                <w:left w:val="none" w:sz="0" w:space="0" w:color="auto"/>
                                <w:bottom w:val="none" w:sz="0" w:space="0" w:color="auto"/>
                                <w:right w:val="none" w:sz="0" w:space="0" w:color="auto"/>
                              </w:divBdr>
                              <w:divsChild>
                                <w:div w:id="557667632">
                                  <w:marLeft w:val="0"/>
                                  <w:marRight w:val="0"/>
                                  <w:marTop w:val="0"/>
                                  <w:marBottom w:val="0"/>
                                  <w:divBdr>
                                    <w:top w:val="none" w:sz="0" w:space="0" w:color="auto"/>
                                    <w:left w:val="none" w:sz="0" w:space="0" w:color="auto"/>
                                    <w:bottom w:val="none" w:sz="0" w:space="0" w:color="auto"/>
                                    <w:right w:val="none" w:sz="0" w:space="0" w:color="auto"/>
                                  </w:divBdr>
                                </w:div>
                                <w:div w:id="883103862">
                                  <w:marLeft w:val="0"/>
                                  <w:marRight w:val="0"/>
                                  <w:marTop w:val="0"/>
                                  <w:marBottom w:val="0"/>
                                  <w:divBdr>
                                    <w:top w:val="none" w:sz="0" w:space="0" w:color="auto"/>
                                    <w:left w:val="none" w:sz="0" w:space="0" w:color="auto"/>
                                    <w:bottom w:val="none" w:sz="0" w:space="0" w:color="auto"/>
                                    <w:right w:val="none" w:sz="0" w:space="0" w:color="auto"/>
                                  </w:divBdr>
                                </w:div>
                                <w:div w:id="66341816">
                                  <w:marLeft w:val="0"/>
                                  <w:marRight w:val="0"/>
                                  <w:marTop w:val="0"/>
                                  <w:marBottom w:val="0"/>
                                  <w:divBdr>
                                    <w:top w:val="none" w:sz="0" w:space="0" w:color="auto"/>
                                    <w:left w:val="none" w:sz="0" w:space="0" w:color="auto"/>
                                    <w:bottom w:val="none" w:sz="0" w:space="0" w:color="auto"/>
                                    <w:right w:val="none" w:sz="0" w:space="0" w:color="auto"/>
                                  </w:divBdr>
                                </w:div>
                                <w:div w:id="1642274311">
                                  <w:marLeft w:val="0"/>
                                  <w:marRight w:val="0"/>
                                  <w:marTop w:val="0"/>
                                  <w:marBottom w:val="0"/>
                                  <w:divBdr>
                                    <w:top w:val="none" w:sz="0" w:space="0" w:color="auto"/>
                                    <w:left w:val="none" w:sz="0" w:space="0" w:color="auto"/>
                                    <w:bottom w:val="none" w:sz="0" w:space="0" w:color="auto"/>
                                    <w:right w:val="none" w:sz="0" w:space="0" w:color="auto"/>
                                  </w:divBdr>
                                </w:div>
                                <w:div w:id="241069804">
                                  <w:marLeft w:val="0"/>
                                  <w:marRight w:val="0"/>
                                  <w:marTop w:val="0"/>
                                  <w:marBottom w:val="0"/>
                                  <w:divBdr>
                                    <w:top w:val="none" w:sz="0" w:space="0" w:color="auto"/>
                                    <w:left w:val="none" w:sz="0" w:space="0" w:color="auto"/>
                                    <w:bottom w:val="none" w:sz="0" w:space="0" w:color="auto"/>
                                    <w:right w:val="none" w:sz="0" w:space="0" w:color="auto"/>
                                  </w:divBdr>
                                </w:div>
                                <w:div w:id="2070106343">
                                  <w:marLeft w:val="0"/>
                                  <w:marRight w:val="0"/>
                                  <w:marTop w:val="0"/>
                                  <w:marBottom w:val="0"/>
                                  <w:divBdr>
                                    <w:top w:val="none" w:sz="0" w:space="0" w:color="auto"/>
                                    <w:left w:val="none" w:sz="0" w:space="0" w:color="auto"/>
                                    <w:bottom w:val="none" w:sz="0" w:space="0" w:color="auto"/>
                                    <w:right w:val="none" w:sz="0" w:space="0" w:color="auto"/>
                                  </w:divBdr>
                                </w:div>
                                <w:div w:id="1451172190">
                                  <w:marLeft w:val="0"/>
                                  <w:marRight w:val="0"/>
                                  <w:marTop w:val="450"/>
                                  <w:marBottom w:val="450"/>
                                  <w:divBdr>
                                    <w:top w:val="single" w:sz="12" w:space="4" w:color="CCCCCC"/>
                                    <w:left w:val="none" w:sz="0" w:space="0" w:color="auto"/>
                                    <w:bottom w:val="single" w:sz="12" w:space="4" w:color="CCCCCC"/>
                                    <w:right w:val="none" w:sz="0" w:space="0" w:color="auto"/>
                                  </w:divBdr>
                                </w:div>
                                <w:div w:id="519975101">
                                  <w:marLeft w:val="0"/>
                                  <w:marRight w:val="0"/>
                                  <w:marTop w:val="0"/>
                                  <w:marBottom w:val="0"/>
                                  <w:divBdr>
                                    <w:top w:val="none" w:sz="0" w:space="0" w:color="auto"/>
                                    <w:left w:val="none" w:sz="0" w:space="0" w:color="auto"/>
                                    <w:bottom w:val="none" w:sz="0" w:space="0" w:color="auto"/>
                                    <w:right w:val="none" w:sz="0" w:space="0" w:color="auto"/>
                                  </w:divBdr>
                                </w:div>
                                <w:div w:id="1732577138">
                                  <w:marLeft w:val="0"/>
                                  <w:marRight w:val="0"/>
                                  <w:marTop w:val="0"/>
                                  <w:marBottom w:val="0"/>
                                  <w:divBdr>
                                    <w:top w:val="none" w:sz="0" w:space="0" w:color="auto"/>
                                    <w:left w:val="none" w:sz="0" w:space="0" w:color="auto"/>
                                    <w:bottom w:val="none" w:sz="0" w:space="0" w:color="auto"/>
                                    <w:right w:val="none" w:sz="0" w:space="0" w:color="auto"/>
                                  </w:divBdr>
                                </w:div>
                                <w:div w:id="803238945">
                                  <w:marLeft w:val="0"/>
                                  <w:marRight w:val="0"/>
                                  <w:marTop w:val="0"/>
                                  <w:marBottom w:val="0"/>
                                  <w:divBdr>
                                    <w:top w:val="none" w:sz="0" w:space="0" w:color="auto"/>
                                    <w:left w:val="none" w:sz="0" w:space="0" w:color="auto"/>
                                    <w:bottom w:val="none" w:sz="0" w:space="0" w:color="auto"/>
                                    <w:right w:val="none" w:sz="0" w:space="0" w:color="auto"/>
                                  </w:divBdr>
                                </w:div>
                                <w:div w:id="11571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8889">
                          <w:marLeft w:val="0"/>
                          <w:marRight w:val="0"/>
                          <w:marTop w:val="0"/>
                          <w:marBottom w:val="0"/>
                          <w:divBdr>
                            <w:top w:val="none" w:sz="0" w:space="0" w:color="auto"/>
                            <w:left w:val="none" w:sz="0" w:space="0" w:color="auto"/>
                            <w:bottom w:val="none" w:sz="0" w:space="0" w:color="auto"/>
                            <w:right w:val="none" w:sz="0" w:space="0" w:color="auto"/>
                          </w:divBdr>
                        </w:div>
                        <w:div w:id="112789839">
                          <w:marLeft w:val="-225"/>
                          <w:marRight w:val="-225"/>
                          <w:marTop w:val="450"/>
                          <w:marBottom w:val="0"/>
                          <w:divBdr>
                            <w:top w:val="none" w:sz="0" w:space="0" w:color="auto"/>
                            <w:left w:val="none" w:sz="0" w:space="0" w:color="auto"/>
                            <w:bottom w:val="none" w:sz="0" w:space="0" w:color="auto"/>
                            <w:right w:val="none" w:sz="0" w:space="0" w:color="auto"/>
                          </w:divBdr>
                          <w:divsChild>
                            <w:div w:id="1356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4852">
                      <w:marLeft w:val="0"/>
                      <w:marRight w:val="0"/>
                      <w:marTop w:val="0"/>
                      <w:marBottom w:val="0"/>
                      <w:divBdr>
                        <w:top w:val="single" w:sz="6" w:space="15" w:color="CCCCCC"/>
                        <w:left w:val="none" w:sz="0" w:space="0" w:color="auto"/>
                        <w:bottom w:val="none" w:sz="0" w:space="0" w:color="auto"/>
                        <w:right w:val="none" w:sz="0" w:space="0" w:color="auto"/>
                      </w:divBdr>
                      <w:divsChild>
                        <w:div w:id="852839185">
                          <w:marLeft w:val="-225"/>
                          <w:marRight w:val="-225"/>
                          <w:marTop w:val="0"/>
                          <w:marBottom w:val="0"/>
                          <w:divBdr>
                            <w:top w:val="none" w:sz="0" w:space="0" w:color="auto"/>
                            <w:left w:val="none" w:sz="0" w:space="0" w:color="auto"/>
                            <w:bottom w:val="none" w:sz="0" w:space="0" w:color="auto"/>
                            <w:right w:val="none" w:sz="0" w:space="0" w:color="auto"/>
                          </w:divBdr>
                        </w:div>
                        <w:div w:id="214046511">
                          <w:marLeft w:val="0"/>
                          <w:marRight w:val="0"/>
                          <w:marTop w:val="0"/>
                          <w:marBottom w:val="0"/>
                          <w:divBdr>
                            <w:top w:val="none" w:sz="0" w:space="0" w:color="auto"/>
                            <w:left w:val="none" w:sz="0" w:space="0" w:color="auto"/>
                            <w:bottom w:val="single" w:sz="12" w:space="0" w:color="DAD9D9"/>
                            <w:right w:val="none" w:sz="0" w:space="0" w:color="auto"/>
                          </w:divBdr>
                          <w:divsChild>
                            <w:div w:id="8822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37615">
              <w:marLeft w:val="0"/>
              <w:marRight w:val="-225"/>
              <w:marTop w:val="0"/>
              <w:marBottom w:val="0"/>
              <w:divBdr>
                <w:top w:val="none" w:sz="0" w:space="0" w:color="auto"/>
                <w:left w:val="none" w:sz="0" w:space="0" w:color="auto"/>
                <w:bottom w:val="none" w:sz="0" w:space="0" w:color="auto"/>
                <w:right w:val="none" w:sz="0" w:space="0" w:color="auto"/>
              </w:divBdr>
              <w:divsChild>
                <w:div w:id="537359183">
                  <w:marLeft w:val="0"/>
                  <w:marRight w:val="0"/>
                  <w:marTop w:val="0"/>
                  <w:marBottom w:val="0"/>
                  <w:divBdr>
                    <w:top w:val="none" w:sz="0" w:space="0" w:color="auto"/>
                    <w:left w:val="none" w:sz="0" w:space="0" w:color="auto"/>
                    <w:bottom w:val="none" w:sz="0" w:space="0" w:color="auto"/>
                    <w:right w:val="none" w:sz="0" w:space="0" w:color="auto"/>
                  </w:divBdr>
                  <w:divsChild>
                    <w:div w:id="172380705">
                      <w:marLeft w:val="0"/>
                      <w:marRight w:val="0"/>
                      <w:marTop w:val="0"/>
                      <w:marBottom w:val="0"/>
                      <w:divBdr>
                        <w:top w:val="none" w:sz="0" w:space="0" w:color="auto"/>
                        <w:left w:val="none" w:sz="0" w:space="0" w:color="auto"/>
                        <w:bottom w:val="none" w:sz="0" w:space="0" w:color="auto"/>
                        <w:right w:val="none" w:sz="0" w:space="0" w:color="auto"/>
                      </w:divBdr>
                      <w:divsChild>
                        <w:div w:id="590814927">
                          <w:marLeft w:val="-225"/>
                          <w:marRight w:val="-225"/>
                          <w:marTop w:val="0"/>
                          <w:marBottom w:val="0"/>
                          <w:divBdr>
                            <w:top w:val="none" w:sz="0" w:space="0" w:color="auto"/>
                            <w:left w:val="none" w:sz="0" w:space="0" w:color="auto"/>
                            <w:bottom w:val="none" w:sz="0" w:space="0" w:color="auto"/>
                            <w:right w:val="none" w:sz="0" w:space="0" w:color="auto"/>
                          </w:divBdr>
                          <w:divsChild>
                            <w:div w:id="2096238751">
                              <w:marLeft w:val="-225"/>
                              <w:marRight w:val="-225"/>
                              <w:marTop w:val="0"/>
                              <w:marBottom w:val="0"/>
                              <w:divBdr>
                                <w:top w:val="none" w:sz="0" w:space="0" w:color="auto"/>
                                <w:left w:val="none" w:sz="0" w:space="0" w:color="auto"/>
                                <w:bottom w:val="none" w:sz="0" w:space="0" w:color="auto"/>
                                <w:right w:val="none" w:sz="0" w:space="0" w:color="auto"/>
                              </w:divBdr>
                              <w:divsChild>
                                <w:div w:id="19436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8161">
                      <w:marLeft w:val="0"/>
                      <w:marRight w:val="0"/>
                      <w:marTop w:val="0"/>
                      <w:marBottom w:val="0"/>
                      <w:divBdr>
                        <w:top w:val="none" w:sz="0" w:space="0" w:color="auto"/>
                        <w:left w:val="none" w:sz="0" w:space="0" w:color="auto"/>
                        <w:bottom w:val="none" w:sz="0" w:space="0" w:color="auto"/>
                        <w:right w:val="none" w:sz="0" w:space="0" w:color="auto"/>
                      </w:divBdr>
                    </w:div>
                  </w:divsChild>
                </w:div>
                <w:div w:id="1864123160">
                  <w:marLeft w:val="0"/>
                  <w:marRight w:val="0"/>
                  <w:marTop w:val="0"/>
                  <w:marBottom w:val="0"/>
                  <w:divBdr>
                    <w:top w:val="none" w:sz="0" w:space="0" w:color="auto"/>
                    <w:left w:val="none" w:sz="0" w:space="0" w:color="auto"/>
                    <w:bottom w:val="none" w:sz="0" w:space="0" w:color="auto"/>
                    <w:right w:val="none" w:sz="0" w:space="0" w:color="auto"/>
                  </w:divBdr>
                </w:div>
                <w:div w:id="15647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957">
          <w:marLeft w:val="-225"/>
          <w:marRight w:val="-225"/>
          <w:marTop w:val="0"/>
          <w:marBottom w:val="0"/>
          <w:divBdr>
            <w:top w:val="none" w:sz="0" w:space="0" w:color="auto"/>
            <w:left w:val="none" w:sz="0" w:space="0" w:color="auto"/>
            <w:bottom w:val="none" w:sz="0" w:space="0" w:color="auto"/>
            <w:right w:val="none" w:sz="0" w:space="0" w:color="auto"/>
          </w:divBdr>
          <w:divsChild>
            <w:div w:id="670445598">
              <w:marLeft w:val="0"/>
              <w:marRight w:val="0"/>
              <w:marTop w:val="0"/>
              <w:marBottom w:val="0"/>
              <w:divBdr>
                <w:top w:val="none" w:sz="0" w:space="0" w:color="auto"/>
                <w:left w:val="none" w:sz="0" w:space="0" w:color="auto"/>
                <w:bottom w:val="none" w:sz="0" w:space="0" w:color="auto"/>
                <w:right w:val="none" w:sz="0" w:space="0" w:color="auto"/>
              </w:divBdr>
              <w:divsChild>
                <w:div w:id="1234581759">
                  <w:marLeft w:val="-225"/>
                  <w:marRight w:val="-225"/>
                  <w:marTop w:val="0"/>
                  <w:marBottom w:val="0"/>
                  <w:divBdr>
                    <w:top w:val="none" w:sz="0" w:space="0" w:color="auto"/>
                    <w:left w:val="none" w:sz="0" w:space="0" w:color="auto"/>
                    <w:bottom w:val="none" w:sz="0" w:space="0" w:color="auto"/>
                    <w:right w:val="none" w:sz="0" w:space="0" w:color="auto"/>
                  </w:divBdr>
                  <w:divsChild>
                    <w:div w:id="194739244">
                      <w:marLeft w:val="0"/>
                      <w:marRight w:val="0"/>
                      <w:marTop w:val="0"/>
                      <w:marBottom w:val="0"/>
                      <w:divBdr>
                        <w:top w:val="single" w:sz="6" w:space="0" w:color="CCCCCC"/>
                        <w:left w:val="single" w:sz="6" w:space="11" w:color="CCCCCC"/>
                        <w:bottom w:val="single" w:sz="6" w:space="0" w:color="CCCCCC"/>
                        <w:right w:val="single" w:sz="6" w:space="11" w:color="CCCCCC"/>
                      </w:divBdr>
                      <w:divsChild>
                        <w:div w:id="1330670520">
                          <w:marLeft w:val="0"/>
                          <w:marRight w:val="0"/>
                          <w:marTop w:val="0"/>
                          <w:marBottom w:val="0"/>
                          <w:divBdr>
                            <w:top w:val="none" w:sz="0" w:space="0" w:color="auto"/>
                            <w:left w:val="none" w:sz="0" w:space="0" w:color="auto"/>
                            <w:bottom w:val="none" w:sz="0" w:space="0" w:color="auto"/>
                            <w:right w:val="none" w:sz="0" w:space="0" w:color="auto"/>
                          </w:divBdr>
                          <w:divsChild>
                            <w:div w:id="406612601">
                              <w:marLeft w:val="0"/>
                              <w:marRight w:val="0"/>
                              <w:marTop w:val="0"/>
                              <w:marBottom w:val="0"/>
                              <w:divBdr>
                                <w:top w:val="none" w:sz="0" w:space="0" w:color="auto"/>
                                <w:left w:val="none" w:sz="0" w:space="0" w:color="auto"/>
                                <w:bottom w:val="none" w:sz="0" w:space="0" w:color="auto"/>
                                <w:right w:val="none" w:sz="0" w:space="0" w:color="auto"/>
                              </w:divBdr>
                              <w:divsChild>
                                <w:div w:id="209539285">
                                  <w:marLeft w:val="0"/>
                                  <w:marRight w:val="0"/>
                                  <w:marTop w:val="0"/>
                                  <w:marBottom w:val="0"/>
                                  <w:divBdr>
                                    <w:top w:val="none" w:sz="0" w:space="0" w:color="auto"/>
                                    <w:left w:val="none" w:sz="0" w:space="0" w:color="auto"/>
                                    <w:bottom w:val="none" w:sz="0" w:space="0" w:color="auto"/>
                                    <w:right w:val="none" w:sz="0" w:space="0" w:color="auto"/>
                                  </w:divBdr>
                                  <w:divsChild>
                                    <w:div w:id="1142848561">
                                      <w:marLeft w:val="0"/>
                                      <w:marRight w:val="0"/>
                                      <w:marTop w:val="0"/>
                                      <w:marBottom w:val="0"/>
                                      <w:divBdr>
                                        <w:top w:val="none" w:sz="0" w:space="0" w:color="auto"/>
                                        <w:left w:val="none" w:sz="0" w:space="0" w:color="auto"/>
                                        <w:bottom w:val="none" w:sz="0" w:space="0" w:color="auto"/>
                                        <w:right w:val="none" w:sz="0" w:space="0" w:color="auto"/>
                                      </w:divBdr>
                                      <w:divsChild>
                                        <w:div w:id="1777288674">
                                          <w:marLeft w:val="0"/>
                                          <w:marRight w:val="0"/>
                                          <w:marTop w:val="0"/>
                                          <w:marBottom w:val="0"/>
                                          <w:divBdr>
                                            <w:top w:val="none" w:sz="0" w:space="0" w:color="auto"/>
                                            <w:left w:val="none" w:sz="0" w:space="0" w:color="auto"/>
                                            <w:bottom w:val="none" w:sz="0" w:space="0" w:color="auto"/>
                                            <w:right w:val="none" w:sz="0" w:space="0" w:color="auto"/>
                                          </w:divBdr>
                                          <w:divsChild>
                                            <w:div w:id="1763407406">
                                              <w:marLeft w:val="0"/>
                                              <w:marRight w:val="0"/>
                                              <w:marTop w:val="0"/>
                                              <w:marBottom w:val="0"/>
                                              <w:divBdr>
                                                <w:top w:val="none" w:sz="0" w:space="0" w:color="auto"/>
                                                <w:left w:val="none" w:sz="0" w:space="0" w:color="auto"/>
                                                <w:bottom w:val="none" w:sz="0" w:space="0" w:color="auto"/>
                                                <w:right w:val="none" w:sz="0" w:space="0" w:color="auto"/>
                                              </w:divBdr>
                                              <w:divsChild>
                                                <w:div w:id="1657685183">
                                                  <w:marLeft w:val="0"/>
                                                  <w:marRight w:val="0"/>
                                                  <w:marTop w:val="0"/>
                                                  <w:marBottom w:val="0"/>
                                                  <w:divBdr>
                                                    <w:top w:val="none" w:sz="0" w:space="0" w:color="auto"/>
                                                    <w:left w:val="none" w:sz="0" w:space="0" w:color="auto"/>
                                                    <w:bottom w:val="none" w:sz="0" w:space="0" w:color="auto"/>
                                                    <w:right w:val="none" w:sz="0" w:space="0" w:color="auto"/>
                                                  </w:divBdr>
                                                  <w:divsChild>
                                                    <w:div w:id="707536297">
                                                      <w:marLeft w:val="0"/>
                                                      <w:marRight w:val="0"/>
                                                      <w:marTop w:val="0"/>
                                                      <w:marBottom w:val="0"/>
                                                      <w:divBdr>
                                                        <w:top w:val="none" w:sz="0" w:space="0" w:color="auto"/>
                                                        <w:left w:val="none" w:sz="0" w:space="0" w:color="auto"/>
                                                        <w:bottom w:val="none" w:sz="0" w:space="0" w:color="auto"/>
                                                        <w:right w:val="none" w:sz="0" w:space="0" w:color="auto"/>
                                                      </w:divBdr>
                                                    </w:div>
                                                    <w:div w:id="18635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8013">
                                          <w:marLeft w:val="0"/>
                                          <w:marRight w:val="0"/>
                                          <w:marTop w:val="0"/>
                                          <w:marBottom w:val="0"/>
                                          <w:divBdr>
                                            <w:top w:val="none" w:sz="0" w:space="0" w:color="auto"/>
                                            <w:left w:val="none" w:sz="0" w:space="0" w:color="auto"/>
                                            <w:bottom w:val="none" w:sz="0" w:space="0" w:color="auto"/>
                                            <w:right w:val="none" w:sz="0" w:space="0" w:color="auto"/>
                                          </w:divBdr>
                                          <w:divsChild>
                                            <w:div w:id="1183011311">
                                              <w:marLeft w:val="0"/>
                                              <w:marRight w:val="0"/>
                                              <w:marTop w:val="0"/>
                                              <w:marBottom w:val="0"/>
                                              <w:divBdr>
                                                <w:top w:val="none" w:sz="0" w:space="0" w:color="auto"/>
                                                <w:left w:val="none" w:sz="0" w:space="0" w:color="auto"/>
                                                <w:bottom w:val="none" w:sz="0" w:space="0" w:color="auto"/>
                                                <w:right w:val="none" w:sz="0" w:space="0" w:color="auto"/>
                                              </w:divBdr>
                                              <w:divsChild>
                                                <w:div w:id="292293705">
                                                  <w:marLeft w:val="0"/>
                                                  <w:marRight w:val="0"/>
                                                  <w:marTop w:val="0"/>
                                                  <w:marBottom w:val="0"/>
                                                  <w:divBdr>
                                                    <w:top w:val="none" w:sz="0" w:space="0" w:color="auto"/>
                                                    <w:left w:val="none" w:sz="0" w:space="0" w:color="auto"/>
                                                    <w:bottom w:val="none" w:sz="0" w:space="0" w:color="auto"/>
                                                    <w:right w:val="none" w:sz="0" w:space="0" w:color="auto"/>
                                                  </w:divBdr>
                                                  <w:divsChild>
                                                    <w:div w:id="331958273">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tekne.it/Servizi/RassegnaLeggi/Recensione_Articolo.aspx?IDLegge=17773&amp;IDArticolo=464684&amp;IDSrc=1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utekne.it/Servizi/RassegnaLeggi/Recensione_Articolo.aspx?IDLegge=247&amp;IDArticolo=38204&amp;IDSrc=100" TargetMode="External"/><Relationship Id="rId4" Type="http://schemas.openxmlformats.org/officeDocument/2006/relationships/settings" Target="settings.xml"/><Relationship Id="rId9" Type="http://schemas.openxmlformats.org/officeDocument/2006/relationships/hyperlink" Target="https://www.eutekne.it/Servizi/RassegnaPrassi/Testo.aspx?ID=316198&amp;IDSrc=1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703</Words>
  <Characters>4010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2021-06-26T16:25:00Z</dcterms:modified>
</cp:coreProperties>
</file>